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B1A1" w14:textId="21854845" w:rsidR="005F4D7C" w:rsidRDefault="005F4D7C">
      <w:pPr>
        <w:pStyle w:val="BodyText"/>
        <w:spacing w:before="10"/>
        <w:rPr>
          <w:sz w:val="14"/>
        </w:rPr>
      </w:pPr>
    </w:p>
    <w:p w14:paraId="2D2F45E8" w14:textId="77777777" w:rsidR="005F4D7C" w:rsidRDefault="005F4D7C">
      <w:pPr>
        <w:rPr>
          <w:sz w:val="14"/>
        </w:rPr>
        <w:sectPr w:rsidR="005F4D7C">
          <w:type w:val="continuous"/>
          <w:pgSz w:w="12240" w:h="15840"/>
          <w:pgMar w:top="320" w:right="580" w:bottom="0" w:left="620" w:header="720" w:footer="720" w:gutter="0"/>
          <w:cols w:space="720"/>
        </w:sectPr>
      </w:pPr>
    </w:p>
    <w:p w14:paraId="118363C8" w14:textId="26CFF592" w:rsidR="005F4D7C" w:rsidRPr="0062342F" w:rsidRDefault="005F4D7C" w:rsidP="007F6A22">
      <w:pPr>
        <w:spacing w:line="232" w:lineRule="auto"/>
        <w:ind w:right="2568"/>
        <w:rPr>
          <w:b/>
          <w:w w:val="105"/>
          <w:sz w:val="24"/>
        </w:rPr>
        <w:sectPr w:rsidR="005F4D7C" w:rsidRPr="0062342F">
          <w:type w:val="continuous"/>
          <w:pgSz w:w="12240" w:h="15840"/>
          <w:pgMar w:top="320" w:right="580" w:bottom="0" w:left="620" w:header="720" w:footer="720" w:gutter="0"/>
          <w:cols w:num="2" w:space="720" w:equalWidth="0">
            <w:col w:w="6428" w:space="641"/>
            <w:col w:w="3971"/>
          </w:cols>
        </w:sectPr>
      </w:pPr>
    </w:p>
    <w:p w14:paraId="1C93501A" w14:textId="41C60454" w:rsidR="0062342F" w:rsidRDefault="0062342F" w:rsidP="0062342F">
      <w:pPr>
        <w:jc w:val="both"/>
      </w:pPr>
    </w:p>
    <w:p w14:paraId="5ED122C9" w14:textId="77777777" w:rsidR="0062342F" w:rsidRPr="0062342F" w:rsidRDefault="0062342F" w:rsidP="0062342F">
      <w:pPr>
        <w:pStyle w:val="Title"/>
        <w:spacing w:line="232" w:lineRule="auto"/>
        <w:rPr>
          <w:b/>
          <w:bCs/>
        </w:rPr>
      </w:pPr>
      <w:r w:rsidRPr="0062342F">
        <w:rPr>
          <w:b/>
          <w:bCs/>
          <w:smallCaps/>
          <w:w w:val="85"/>
        </w:rPr>
        <w:t xml:space="preserve">Charlottesville redevelopment &amp; </w:t>
      </w:r>
      <w:r w:rsidRPr="0062342F">
        <w:rPr>
          <w:b/>
          <w:bCs/>
          <w:smallCaps/>
          <w:w w:val="95"/>
        </w:rPr>
        <w:t>housing</w:t>
      </w:r>
      <w:r w:rsidRPr="0062342F">
        <w:rPr>
          <w:b/>
          <w:bCs/>
          <w:smallCaps/>
          <w:spacing w:val="-17"/>
          <w:w w:val="95"/>
        </w:rPr>
        <w:t xml:space="preserve"> </w:t>
      </w:r>
      <w:r w:rsidRPr="0062342F">
        <w:rPr>
          <w:b/>
          <w:bCs/>
          <w:smallCaps/>
          <w:w w:val="95"/>
        </w:rPr>
        <w:t>Authority</w:t>
      </w:r>
    </w:p>
    <w:p w14:paraId="18305E07" w14:textId="77777777" w:rsidR="0062342F" w:rsidRDefault="0062342F" w:rsidP="0062342F">
      <w:pPr>
        <w:spacing w:before="211"/>
        <w:ind w:left="4324" w:firstLine="716"/>
        <w:rPr>
          <w:sz w:val="18"/>
        </w:rPr>
      </w:pPr>
      <w:r>
        <w:rPr>
          <w:sz w:val="18"/>
        </w:rPr>
        <w:t>P.O.</w:t>
      </w:r>
      <w:r>
        <w:rPr>
          <w:spacing w:val="-3"/>
          <w:sz w:val="18"/>
        </w:rPr>
        <w:t xml:space="preserve"> </w:t>
      </w:r>
      <w:r>
        <w:rPr>
          <w:sz w:val="18"/>
        </w:rPr>
        <w:t>BOX</w:t>
      </w:r>
      <w:r>
        <w:rPr>
          <w:spacing w:val="-3"/>
          <w:sz w:val="18"/>
        </w:rPr>
        <w:t xml:space="preserve"> </w:t>
      </w:r>
      <w:r>
        <w:rPr>
          <w:spacing w:val="-4"/>
          <w:sz w:val="18"/>
        </w:rPr>
        <w:t>1405</w:t>
      </w:r>
    </w:p>
    <w:p w14:paraId="1293E054" w14:textId="60B462D4" w:rsidR="0062342F" w:rsidRDefault="007F6A22" w:rsidP="0062342F">
      <w:pPr>
        <w:pStyle w:val="BodyText"/>
        <w:spacing w:before="1"/>
        <w:rPr>
          <w:sz w:val="17"/>
        </w:rPr>
      </w:pPr>
      <w:r>
        <w:rPr>
          <w:noProof/>
        </w:rPr>
        <w:drawing>
          <wp:anchor distT="0" distB="0" distL="0" distR="0" simplePos="0" relativeHeight="251663360" behindDoc="0" locked="0" layoutInCell="1" allowOverlap="1" wp14:anchorId="58685D3C" wp14:editId="1A4DA9AA">
            <wp:simplePos x="0" y="0"/>
            <wp:positionH relativeFrom="page">
              <wp:posOffset>5678952</wp:posOffset>
            </wp:positionH>
            <wp:positionV relativeFrom="paragraph">
              <wp:posOffset>43424</wp:posOffset>
            </wp:positionV>
            <wp:extent cx="1418788" cy="1608455"/>
            <wp:effectExtent l="0" t="0" r="3810" b="4445"/>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788" cy="1608455"/>
                    </a:xfrm>
                    <a:prstGeom prst="rect">
                      <a:avLst/>
                    </a:prstGeom>
                  </pic:spPr>
                </pic:pic>
              </a:graphicData>
            </a:graphic>
            <wp14:sizeRelH relativeFrom="margin">
              <wp14:pctWidth>0</wp14:pctWidth>
            </wp14:sizeRelH>
            <wp14:sizeRelV relativeFrom="margin">
              <wp14:pctHeight>0</wp14:pctHeight>
            </wp14:sizeRelV>
          </wp:anchor>
        </w:drawing>
      </w:r>
    </w:p>
    <w:p w14:paraId="4E11A951" w14:textId="0410DE1B" w:rsidR="0062342F" w:rsidRDefault="0062342F" w:rsidP="0062342F">
      <w:pPr>
        <w:ind w:left="585" w:right="11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1699681D" w14:textId="2BF4B225" w:rsidR="0062342F" w:rsidRDefault="0062342F" w:rsidP="0062342F">
      <w:pPr>
        <w:pStyle w:val="BodyText"/>
        <w:rPr>
          <w:sz w:val="17"/>
        </w:rPr>
      </w:pPr>
    </w:p>
    <w:p w14:paraId="163BD24A" w14:textId="4CAC8B89" w:rsidR="0062342F" w:rsidRDefault="0062342F" w:rsidP="0062342F">
      <w:pPr>
        <w:spacing w:before="1"/>
        <w:ind w:left="581" w:right="11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0FFF2BBD" w14:textId="5CEC8626" w:rsidR="0062342F" w:rsidRDefault="0062342F" w:rsidP="0062342F">
      <w:pPr>
        <w:pStyle w:val="BodyText"/>
        <w:rPr>
          <w:sz w:val="17"/>
        </w:rPr>
      </w:pPr>
    </w:p>
    <w:p w14:paraId="5A74BFC6" w14:textId="4E1A4420" w:rsidR="0062342F" w:rsidRPr="00975E0D" w:rsidRDefault="00000000" w:rsidP="00975E0D">
      <w:pPr>
        <w:ind w:left="584" w:right="114"/>
        <w:jc w:val="center"/>
        <w:rPr>
          <w:sz w:val="18"/>
        </w:rPr>
      </w:pPr>
      <w:hyperlink r:id="rId6">
        <w:r w:rsidR="0062342F">
          <w:rPr>
            <w:spacing w:val="-2"/>
            <w:sz w:val="18"/>
          </w:rPr>
          <w:t>www.cvillerha.com</w:t>
        </w:r>
      </w:hyperlink>
    </w:p>
    <w:p w14:paraId="4BEDEFF6" w14:textId="77777777" w:rsidR="0062342F" w:rsidRDefault="0062342F" w:rsidP="0062342F"/>
    <w:tbl>
      <w:tblPr>
        <w:tblW w:w="0" w:type="auto"/>
        <w:tblLook w:val="04A0" w:firstRow="1" w:lastRow="0" w:firstColumn="1" w:lastColumn="0" w:noHBand="0" w:noVBand="1"/>
      </w:tblPr>
      <w:tblGrid>
        <w:gridCol w:w="7128"/>
        <w:gridCol w:w="450"/>
        <w:gridCol w:w="3150"/>
      </w:tblGrid>
      <w:tr w:rsidR="0062342F" w:rsidRPr="00F955A9" w14:paraId="443BCED5" w14:textId="77777777" w:rsidTr="007C294A">
        <w:trPr>
          <w:trHeight w:val="333"/>
        </w:trPr>
        <w:tc>
          <w:tcPr>
            <w:tcW w:w="7128" w:type="dxa"/>
            <w:shd w:val="clear" w:color="auto" w:fill="auto"/>
          </w:tcPr>
          <w:p w14:paraId="021B92D4" w14:textId="0E2F7951" w:rsidR="0062342F" w:rsidRDefault="0062342F" w:rsidP="0062342F">
            <w:pPr>
              <w:rPr>
                <w:rFonts w:eastAsia="Calibri"/>
                <w:b/>
                <w:u w:val="single"/>
              </w:rPr>
            </w:pPr>
            <w:r w:rsidRPr="007747D7">
              <w:rPr>
                <w:rFonts w:eastAsia="Calibri"/>
                <w:b/>
                <w:u w:val="single"/>
              </w:rPr>
              <w:t xml:space="preserve">CRHA RESOLUTION </w:t>
            </w:r>
            <w:r>
              <w:rPr>
                <w:rFonts w:eastAsia="Calibri"/>
                <w:b/>
                <w:u w:val="single"/>
              </w:rPr>
              <w:t>#14</w:t>
            </w:r>
            <w:r w:rsidR="001A00B1">
              <w:rPr>
                <w:rFonts w:eastAsia="Calibri"/>
                <w:b/>
                <w:u w:val="single"/>
              </w:rPr>
              <w:t>6</w:t>
            </w:r>
            <w:r w:rsidR="00A228C1">
              <w:rPr>
                <w:rFonts w:eastAsia="Calibri"/>
                <w:b/>
                <w:u w:val="single"/>
              </w:rPr>
              <w:t>4</w:t>
            </w:r>
          </w:p>
          <w:p w14:paraId="76DC760D" w14:textId="77777777" w:rsidR="0062342F" w:rsidRPr="007747D7" w:rsidRDefault="0062342F" w:rsidP="0062342F">
            <w:pPr>
              <w:rPr>
                <w:rFonts w:eastAsia="Calibri"/>
                <w:b/>
                <w:u w:val="single"/>
              </w:rPr>
            </w:pPr>
          </w:p>
        </w:tc>
        <w:tc>
          <w:tcPr>
            <w:tcW w:w="450" w:type="dxa"/>
            <w:shd w:val="clear" w:color="auto" w:fill="auto"/>
          </w:tcPr>
          <w:p w14:paraId="02A9C2EB" w14:textId="77777777" w:rsidR="0062342F" w:rsidRPr="00A9189D" w:rsidRDefault="0062342F" w:rsidP="0062342F">
            <w:pPr>
              <w:rPr>
                <w:rFonts w:eastAsia="Calibri"/>
                <w:b/>
              </w:rPr>
            </w:pPr>
          </w:p>
        </w:tc>
        <w:tc>
          <w:tcPr>
            <w:tcW w:w="3150" w:type="dxa"/>
            <w:shd w:val="clear" w:color="auto" w:fill="auto"/>
          </w:tcPr>
          <w:p w14:paraId="45A774E2" w14:textId="1C119A87" w:rsidR="0062342F" w:rsidRPr="00A9189D" w:rsidRDefault="0062342F" w:rsidP="0062342F">
            <w:pPr>
              <w:rPr>
                <w:rFonts w:eastAsia="Calibri"/>
                <w:b/>
              </w:rPr>
            </w:pPr>
            <w:r w:rsidRPr="003F79AF">
              <w:rPr>
                <w:noProof/>
              </w:rPr>
              <w:drawing>
                <wp:anchor distT="0" distB="0" distL="0" distR="0" simplePos="0" relativeHeight="251659264" behindDoc="0" locked="0" layoutInCell="1" allowOverlap="1" wp14:anchorId="142C9CF1" wp14:editId="0E8D7769">
                  <wp:simplePos x="0" y="0"/>
                  <wp:positionH relativeFrom="page">
                    <wp:posOffset>5393055</wp:posOffset>
                  </wp:positionH>
                  <wp:positionV relativeFrom="paragraph">
                    <wp:posOffset>473710</wp:posOffset>
                  </wp:positionV>
                  <wp:extent cx="1418788" cy="1608455"/>
                  <wp:effectExtent l="0" t="0" r="381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r w:rsidR="0062342F" w:rsidRPr="00F955A9" w14:paraId="65E1CA20" w14:textId="77777777" w:rsidTr="00F85729">
        <w:tc>
          <w:tcPr>
            <w:tcW w:w="7128" w:type="dxa"/>
            <w:vMerge w:val="restart"/>
            <w:shd w:val="clear" w:color="auto" w:fill="auto"/>
          </w:tcPr>
          <w:p w14:paraId="3B1CD1F8" w14:textId="77777777" w:rsidR="00A228C1" w:rsidRDefault="00A228C1" w:rsidP="00A228C1">
            <w:pPr>
              <w:contextualSpacing/>
              <w:rPr>
                <w:b/>
                <w:sz w:val="24"/>
                <w:szCs w:val="24"/>
              </w:rPr>
            </w:pPr>
            <w:r>
              <w:rPr>
                <w:b/>
                <w:sz w:val="24"/>
                <w:szCs w:val="24"/>
              </w:rPr>
              <w:t xml:space="preserve">RESOLUTION AUTHORIZING THE REFINANCING OF </w:t>
            </w:r>
          </w:p>
          <w:p w14:paraId="5BAFF4AE" w14:textId="77777777" w:rsidR="00A228C1" w:rsidRDefault="00A228C1" w:rsidP="00A228C1">
            <w:pPr>
              <w:contextualSpacing/>
              <w:rPr>
                <w:b/>
                <w:sz w:val="24"/>
                <w:szCs w:val="24"/>
              </w:rPr>
            </w:pPr>
            <w:r>
              <w:rPr>
                <w:b/>
                <w:sz w:val="24"/>
                <w:szCs w:val="24"/>
              </w:rPr>
              <w:t xml:space="preserve">A CERTAIN PARCELS OF PROPERTY OWNED BY THE </w:t>
            </w:r>
          </w:p>
          <w:p w14:paraId="084A8C09" w14:textId="77777777" w:rsidR="00A228C1" w:rsidRDefault="00A228C1" w:rsidP="00A228C1">
            <w:pPr>
              <w:contextualSpacing/>
              <w:rPr>
                <w:b/>
                <w:sz w:val="24"/>
                <w:szCs w:val="24"/>
              </w:rPr>
            </w:pPr>
            <w:r>
              <w:rPr>
                <w:b/>
                <w:sz w:val="24"/>
                <w:szCs w:val="24"/>
              </w:rPr>
              <w:t xml:space="preserve">CHARLOTTESVILLE REDEVELOPMENT AND HOUSING AUTHORITY </w:t>
            </w:r>
          </w:p>
          <w:p w14:paraId="457A8BDC" w14:textId="3B7960EA" w:rsidR="0062342F" w:rsidRPr="00A9189D" w:rsidRDefault="001A00B1" w:rsidP="00167E6B">
            <w:pPr>
              <w:rPr>
                <w:rFonts w:eastAsia="Calibri"/>
                <w:b/>
              </w:rPr>
            </w:pPr>
            <w:r>
              <w:rPr>
                <w:rFonts w:eastAsia="Calibri"/>
                <w:b/>
              </w:rPr>
              <w:tab/>
            </w:r>
          </w:p>
        </w:tc>
        <w:tc>
          <w:tcPr>
            <w:tcW w:w="450" w:type="dxa"/>
            <w:shd w:val="clear" w:color="auto" w:fill="auto"/>
          </w:tcPr>
          <w:p w14:paraId="09543F88" w14:textId="77777777" w:rsidR="0062342F" w:rsidRPr="00A9189D" w:rsidRDefault="0062342F" w:rsidP="0062342F">
            <w:pPr>
              <w:rPr>
                <w:rFonts w:eastAsia="Calibri"/>
                <w:b/>
              </w:rPr>
            </w:pPr>
            <w:r w:rsidRPr="00A9189D">
              <w:rPr>
                <w:rFonts w:eastAsia="Calibri"/>
                <w:b/>
              </w:rPr>
              <w:t>)</w:t>
            </w:r>
          </w:p>
        </w:tc>
        <w:tc>
          <w:tcPr>
            <w:tcW w:w="3150" w:type="dxa"/>
            <w:vMerge w:val="restart"/>
            <w:shd w:val="clear" w:color="auto" w:fill="auto"/>
          </w:tcPr>
          <w:p w14:paraId="0015F843" w14:textId="642AB0EA" w:rsidR="0062342F" w:rsidRPr="00A9189D" w:rsidRDefault="0062342F" w:rsidP="0062342F">
            <w:pPr>
              <w:jc w:val="center"/>
              <w:rPr>
                <w:rFonts w:eastAsia="Calibri"/>
                <w:b/>
              </w:rPr>
            </w:pPr>
            <w:r w:rsidRPr="003F79AF">
              <w:rPr>
                <w:noProof/>
              </w:rPr>
              <w:drawing>
                <wp:anchor distT="0" distB="0" distL="0" distR="0" simplePos="0" relativeHeight="251660288" behindDoc="0" locked="0" layoutInCell="1" allowOverlap="1" wp14:anchorId="54D1DC92" wp14:editId="1207A588">
                  <wp:simplePos x="0" y="0"/>
                  <wp:positionH relativeFrom="page">
                    <wp:posOffset>5393055</wp:posOffset>
                  </wp:positionH>
                  <wp:positionV relativeFrom="paragraph">
                    <wp:posOffset>473710</wp:posOffset>
                  </wp:positionV>
                  <wp:extent cx="1418788" cy="1608455"/>
                  <wp:effectExtent l="0" t="0" r="3810" b="4445"/>
                  <wp:wrapNone/>
                  <wp:docPr id="469226711" name="Picture 46922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r w:rsidR="0062342F" w:rsidRPr="00F955A9" w14:paraId="4166FFDD" w14:textId="77777777" w:rsidTr="007C294A">
        <w:tc>
          <w:tcPr>
            <w:tcW w:w="7128" w:type="dxa"/>
            <w:vMerge/>
            <w:shd w:val="clear" w:color="auto" w:fill="auto"/>
          </w:tcPr>
          <w:p w14:paraId="221418C7" w14:textId="77777777" w:rsidR="0062342F" w:rsidRPr="00A9189D" w:rsidRDefault="0062342F" w:rsidP="0062342F">
            <w:pPr>
              <w:rPr>
                <w:rFonts w:eastAsia="Calibri"/>
                <w:b/>
              </w:rPr>
            </w:pPr>
          </w:p>
        </w:tc>
        <w:tc>
          <w:tcPr>
            <w:tcW w:w="450" w:type="dxa"/>
            <w:shd w:val="clear" w:color="auto" w:fill="auto"/>
          </w:tcPr>
          <w:p w14:paraId="780741A9" w14:textId="77777777" w:rsidR="0062342F" w:rsidRPr="00A9189D" w:rsidRDefault="0062342F" w:rsidP="0062342F">
            <w:pPr>
              <w:rPr>
                <w:rFonts w:eastAsia="Calibri"/>
                <w:b/>
              </w:rPr>
            </w:pPr>
            <w:r w:rsidRPr="00A9189D">
              <w:rPr>
                <w:rFonts w:eastAsia="Calibri"/>
                <w:b/>
              </w:rPr>
              <w:t>)</w:t>
            </w:r>
          </w:p>
        </w:tc>
        <w:tc>
          <w:tcPr>
            <w:tcW w:w="3150" w:type="dxa"/>
            <w:vMerge/>
            <w:shd w:val="clear" w:color="auto" w:fill="auto"/>
          </w:tcPr>
          <w:p w14:paraId="496EF983" w14:textId="77777777" w:rsidR="0062342F" w:rsidRPr="00A9189D" w:rsidRDefault="0062342F" w:rsidP="0062342F">
            <w:pPr>
              <w:rPr>
                <w:rFonts w:eastAsia="Calibri"/>
                <w:b/>
              </w:rPr>
            </w:pPr>
          </w:p>
        </w:tc>
      </w:tr>
      <w:tr w:rsidR="0062342F" w:rsidRPr="00F955A9" w14:paraId="1D472992" w14:textId="77777777" w:rsidTr="007C294A">
        <w:tc>
          <w:tcPr>
            <w:tcW w:w="7128" w:type="dxa"/>
            <w:vMerge/>
            <w:shd w:val="clear" w:color="auto" w:fill="auto"/>
          </w:tcPr>
          <w:p w14:paraId="2772A2FE" w14:textId="77777777" w:rsidR="0062342F" w:rsidRPr="00A9189D" w:rsidRDefault="0062342F" w:rsidP="0062342F">
            <w:pPr>
              <w:rPr>
                <w:rFonts w:eastAsia="Calibri"/>
                <w:b/>
              </w:rPr>
            </w:pPr>
          </w:p>
        </w:tc>
        <w:tc>
          <w:tcPr>
            <w:tcW w:w="450" w:type="dxa"/>
            <w:shd w:val="clear" w:color="auto" w:fill="auto"/>
          </w:tcPr>
          <w:p w14:paraId="73E3BEB7" w14:textId="77777777" w:rsidR="0062342F" w:rsidRPr="00A9189D" w:rsidRDefault="0062342F" w:rsidP="0062342F">
            <w:pPr>
              <w:rPr>
                <w:rFonts w:eastAsia="Calibri"/>
                <w:b/>
              </w:rPr>
            </w:pPr>
            <w:r w:rsidRPr="00A9189D">
              <w:rPr>
                <w:rFonts w:eastAsia="Calibri"/>
                <w:b/>
              </w:rPr>
              <w:t>)</w:t>
            </w:r>
          </w:p>
          <w:p w14:paraId="03186786" w14:textId="77777777" w:rsidR="0062342F" w:rsidRPr="00A9189D" w:rsidRDefault="0062342F" w:rsidP="0062342F">
            <w:pPr>
              <w:rPr>
                <w:rFonts w:eastAsia="Calibri"/>
                <w:b/>
              </w:rPr>
            </w:pPr>
            <w:r w:rsidRPr="00A9189D">
              <w:rPr>
                <w:rFonts w:eastAsia="Calibri"/>
                <w:b/>
              </w:rPr>
              <w:t>)</w:t>
            </w:r>
          </w:p>
        </w:tc>
        <w:tc>
          <w:tcPr>
            <w:tcW w:w="3150" w:type="dxa"/>
            <w:shd w:val="clear" w:color="auto" w:fill="auto"/>
          </w:tcPr>
          <w:p w14:paraId="5A482884" w14:textId="4A6619BD" w:rsidR="0062342F" w:rsidRPr="00A9189D" w:rsidRDefault="0062342F" w:rsidP="0062342F">
            <w:pPr>
              <w:rPr>
                <w:rFonts w:eastAsia="Calibri"/>
                <w:b/>
              </w:rPr>
            </w:pPr>
            <w:r w:rsidRPr="003F79AF">
              <w:rPr>
                <w:noProof/>
              </w:rPr>
              <w:drawing>
                <wp:anchor distT="0" distB="0" distL="0" distR="0" simplePos="0" relativeHeight="251661312" behindDoc="0" locked="0" layoutInCell="1" allowOverlap="1" wp14:anchorId="49F63E80" wp14:editId="06C8A259">
                  <wp:simplePos x="0" y="0"/>
                  <wp:positionH relativeFrom="page">
                    <wp:posOffset>5393055</wp:posOffset>
                  </wp:positionH>
                  <wp:positionV relativeFrom="paragraph">
                    <wp:posOffset>473710</wp:posOffset>
                  </wp:positionV>
                  <wp:extent cx="1418788" cy="1608455"/>
                  <wp:effectExtent l="0" t="0" r="3810" b="4445"/>
                  <wp:wrapNone/>
                  <wp:docPr id="2122388585" name="Picture 212238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0942" cy="1622233"/>
                          </a:xfrm>
                          <a:prstGeom prst="rect">
                            <a:avLst/>
                          </a:prstGeom>
                        </pic:spPr>
                      </pic:pic>
                    </a:graphicData>
                  </a:graphic>
                  <wp14:sizeRelH relativeFrom="margin">
                    <wp14:pctWidth>0</wp14:pctWidth>
                  </wp14:sizeRelH>
                  <wp14:sizeRelV relativeFrom="margin">
                    <wp14:pctHeight>0</wp14:pctHeight>
                  </wp14:sizeRelV>
                </wp:anchor>
              </w:drawing>
            </w:r>
          </w:p>
        </w:tc>
      </w:tr>
    </w:tbl>
    <w:p w14:paraId="2C14B064" w14:textId="4FA45A6A" w:rsidR="0062342F" w:rsidRPr="007F6A22" w:rsidRDefault="0062342F" w:rsidP="0062342F">
      <w:pPr>
        <w:tabs>
          <w:tab w:val="left" w:pos="0"/>
        </w:tabs>
        <w:rPr>
          <w:sz w:val="16"/>
          <w:szCs w:val="16"/>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2157C79" w14:textId="77777777" w:rsidR="00975E0D" w:rsidRDefault="00975E0D" w:rsidP="0062342F">
      <w:pPr>
        <w:tabs>
          <w:tab w:val="left" w:pos="0"/>
        </w:tabs>
        <w:rPr>
          <w:b/>
        </w:rPr>
      </w:pPr>
    </w:p>
    <w:p w14:paraId="685E7B3E" w14:textId="77777777" w:rsidR="00A228C1" w:rsidRDefault="00A228C1" w:rsidP="00A228C1">
      <w:pPr>
        <w:jc w:val="both"/>
        <w:rPr>
          <w:sz w:val="24"/>
          <w:szCs w:val="24"/>
        </w:rPr>
      </w:pPr>
      <w:r>
        <w:rPr>
          <w:sz w:val="24"/>
          <w:szCs w:val="24"/>
        </w:rPr>
        <w:t xml:space="preserve">WHEREAS, the Charlottesville Redevelopment and Housing Authority (the “Authority”) OWNS certain parcels of land, with the improvements thereon, which </w:t>
      </w:r>
      <w:proofErr w:type="gramStart"/>
      <w:r>
        <w:rPr>
          <w:sz w:val="24"/>
          <w:szCs w:val="24"/>
        </w:rPr>
        <w:t>are located in</w:t>
      </w:r>
      <w:proofErr w:type="gramEnd"/>
      <w:r>
        <w:rPr>
          <w:sz w:val="24"/>
          <w:szCs w:val="24"/>
        </w:rPr>
        <w:t xml:space="preserve"> the City of Charlottesville Virginia, identified on Exhibit A attached hereto (collectively the “Property”); and</w:t>
      </w:r>
    </w:p>
    <w:p w14:paraId="549883D7" w14:textId="77777777" w:rsidR="00A228C1" w:rsidRDefault="00A228C1" w:rsidP="00A228C1">
      <w:pPr>
        <w:jc w:val="both"/>
        <w:rPr>
          <w:sz w:val="24"/>
          <w:szCs w:val="24"/>
        </w:rPr>
      </w:pPr>
    </w:p>
    <w:p w14:paraId="0BAADAEF" w14:textId="4FB5BB79" w:rsidR="00A228C1" w:rsidRDefault="00A228C1" w:rsidP="00A228C1">
      <w:pPr>
        <w:jc w:val="both"/>
        <w:rPr>
          <w:sz w:val="24"/>
          <w:szCs w:val="24"/>
        </w:rPr>
      </w:pPr>
      <w:proofErr w:type="gramStart"/>
      <w:r>
        <w:rPr>
          <w:sz w:val="24"/>
          <w:szCs w:val="24"/>
        </w:rPr>
        <w:t>WHEREAS,</w:t>
      </w:r>
      <w:proofErr w:type="gramEnd"/>
      <w:r>
        <w:rPr>
          <w:sz w:val="24"/>
          <w:szCs w:val="24"/>
        </w:rPr>
        <w:t xml:space="preserve"> the Authority acquired the Property for a purchase price of $10,000,000.00 (the “Purchase Price”); </w:t>
      </w:r>
    </w:p>
    <w:p w14:paraId="6EB6E4A0" w14:textId="77777777" w:rsidR="00A228C1" w:rsidRDefault="00A228C1" w:rsidP="00A228C1">
      <w:pPr>
        <w:jc w:val="both"/>
        <w:rPr>
          <w:sz w:val="24"/>
          <w:szCs w:val="24"/>
        </w:rPr>
      </w:pPr>
    </w:p>
    <w:p w14:paraId="349DBB65" w14:textId="77777777" w:rsidR="00A228C1" w:rsidRDefault="00A228C1" w:rsidP="00A228C1">
      <w:pPr>
        <w:jc w:val="both"/>
        <w:rPr>
          <w:sz w:val="24"/>
          <w:szCs w:val="24"/>
        </w:rPr>
      </w:pPr>
      <w:proofErr w:type="gramStart"/>
      <w:r>
        <w:rPr>
          <w:sz w:val="24"/>
          <w:szCs w:val="24"/>
        </w:rPr>
        <w:t>WHEREAS,</w:t>
      </w:r>
      <w:proofErr w:type="gramEnd"/>
      <w:r>
        <w:rPr>
          <w:sz w:val="24"/>
          <w:szCs w:val="24"/>
        </w:rPr>
        <w:t xml:space="preserve"> the City of Charlottesville provided funding in the amount of $5,000,000.00 to the Authority for the acquisition of the Property; and</w:t>
      </w:r>
    </w:p>
    <w:p w14:paraId="06C21FF5" w14:textId="77777777" w:rsidR="00A228C1" w:rsidRDefault="00A228C1" w:rsidP="00A228C1">
      <w:pPr>
        <w:jc w:val="both"/>
        <w:rPr>
          <w:sz w:val="24"/>
          <w:szCs w:val="24"/>
        </w:rPr>
      </w:pPr>
    </w:p>
    <w:p w14:paraId="222AF0DA" w14:textId="77777777" w:rsidR="00A228C1" w:rsidRDefault="00A228C1" w:rsidP="00A228C1">
      <w:pPr>
        <w:jc w:val="both"/>
        <w:rPr>
          <w:sz w:val="24"/>
          <w:szCs w:val="24"/>
        </w:rPr>
      </w:pPr>
      <w:r>
        <w:rPr>
          <w:sz w:val="24"/>
          <w:szCs w:val="24"/>
        </w:rPr>
        <w:t>WHEREAS, at the time of acquisition of the Property, the Seller of the Property provided a loan in the amount of $5,000,000 (the “Seller Financing”); and</w:t>
      </w:r>
    </w:p>
    <w:p w14:paraId="2550D13C" w14:textId="77777777" w:rsidR="00A228C1" w:rsidRDefault="00A228C1" w:rsidP="00A228C1">
      <w:pPr>
        <w:jc w:val="both"/>
        <w:rPr>
          <w:sz w:val="24"/>
          <w:szCs w:val="24"/>
        </w:rPr>
      </w:pPr>
    </w:p>
    <w:p w14:paraId="6466A8E5" w14:textId="77777777" w:rsidR="00A228C1" w:rsidRDefault="00A228C1" w:rsidP="00A228C1">
      <w:pPr>
        <w:jc w:val="both"/>
        <w:rPr>
          <w:sz w:val="24"/>
          <w:szCs w:val="24"/>
        </w:rPr>
      </w:pPr>
      <w:proofErr w:type="gramStart"/>
      <w:r>
        <w:rPr>
          <w:sz w:val="24"/>
          <w:szCs w:val="24"/>
        </w:rPr>
        <w:t>WHEREAS,</w:t>
      </w:r>
      <w:proofErr w:type="gramEnd"/>
      <w:r>
        <w:rPr>
          <w:sz w:val="24"/>
          <w:szCs w:val="24"/>
        </w:rPr>
        <w:t xml:space="preserve"> FAHE </w:t>
      </w:r>
      <w:r w:rsidRPr="00902EB5">
        <w:rPr>
          <w:sz w:val="24"/>
          <w:szCs w:val="24"/>
        </w:rPr>
        <w:t>is providing funding in the amount of $5,000,000.00 to the Authority, in the form of</w:t>
      </w:r>
      <w:r>
        <w:rPr>
          <w:sz w:val="24"/>
          <w:szCs w:val="24"/>
        </w:rPr>
        <w:t xml:space="preserve"> a seven (7.0%) Loan for a term of sixty (60) months (the “FAHE Loan”), which funds will be used to pay off the seller financing; and</w:t>
      </w:r>
    </w:p>
    <w:p w14:paraId="5B0CCEDA" w14:textId="77777777" w:rsidR="00A228C1" w:rsidRDefault="00A228C1" w:rsidP="00A228C1">
      <w:pPr>
        <w:jc w:val="both"/>
        <w:rPr>
          <w:sz w:val="24"/>
          <w:szCs w:val="24"/>
        </w:rPr>
      </w:pPr>
    </w:p>
    <w:p w14:paraId="516A40E4" w14:textId="2877BFD8" w:rsidR="00A228C1" w:rsidRDefault="00A228C1" w:rsidP="00A228C1">
      <w:pPr>
        <w:jc w:val="both"/>
        <w:rPr>
          <w:sz w:val="24"/>
          <w:szCs w:val="24"/>
        </w:rPr>
      </w:pPr>
      <w:r>
        <w:rPr>
          <w:sz w:val="24"/>
          <w:szCs w:val="24"/>
        </w:rPr>
        <w:t>WHEREAS, the Board has determined that it is in the best interests of the Authority, and in keeping with its mission, to refinance Seller Financing using the funds from the FAHE Loan.</w:t>
      </w:r>
    </w:p>
    <w:p w14:paraId="38DDF9E5" w14:textId="77777777" w:rsidR="00A228C1" w:rsidRDefault="00A228C1" w:rsidP="00A228C1">
      <w:pPr>
        <w:jc w:val="both"/>
        <w:rPr>
          <w:sz w:val="24"/>
          <w:szCs w:val="24"/>
        </w:rPr>
      </w:pPr>
    </w:p>
    <w:p w14:paraId="744853A6" w14:textId="15685DCF" w:rsidR="00A228C1" w:rsidRDefault="00A228C1" w:rsidP="00A228C1">
      <w:pPr>
        <w:jc w:val="both"/>
        <w:rPr>
          <w:sz w:val="24"/>
          <w:szCs w:val="24"/>
        </w:rPr>
      </w:pPr>
      <w:r>
        <w:rPr>
          <w:sz w:val="24"/>
          <w:szCs w:val="24"/>
        </w:rPr>
        <w:t>NOW, THEREFORE, be it resolved by the Board of Commissioners of the Charlottesville Redevelopment and Housing Authority as follows:</w:t>
      </w:r>
    </w:p>
    <w:p w14:paraId="4A0660B3" w14:textId="77777777" w:rsidR="00A228C1" w:rsidRDefault="00A228C1" w:rsidP="00A228C1">
      <w:pPr>
        <w:jc w:val="both"/>
        <w:rPr>
          <w:sz w:val="24"/>
          <w:szCs w:val="24"/>
        </w:rPr>
      </w:pPr>
    </w:p>
    <w:p w14:paraId="15BE0BEE" w14:textId="77777777" w:rsidR="00A228C1" w:rsidRDefault="00A228C1" w:rsidP="00A228C1">
      <w:pPr>
        <w:pStyle w:val="ListParagraph"/>
        <w:widowControl/>
        <w:numPr>
          <w:ilvl w:val="0"/>
          <w:numId w:val="3"/>
        </w:numPr>
        <w:autoSpaceDE/>
        <w:autoSpaceDN/>
        <w:spacing w:after="160" w:line="259" w:lineRule="auto"/>
        <w:jc w:val="both"/>
        <w:rPr>
          <w:sz w:val="24"/>
          <w:szCs w:val="24"/>
        </w:rPr>
      </w:pPr>
      <w:r w:rsidRPr="00751A70">
        <w:rPr>
          <w:sz w:val="24"/>
          <w:szCs w:val="24"/>
        </w:rPr>
        <w:t>The Executive Director, or his</w:t>
      </w:r>
      <w:r>
        <w:rPr>
          <w:sz w:val="24"/>
          <w:szCs w:val="24"/>
        </w:rPr>
        <w:t xml:space="preserve"> </w:t>
      </w:r>
      <w:r w:rsidRPr="00751A70">
        <w:rPr>
          <w:sz w:val="24"/>
          <w:szCs w:val="24"/>
        </w:rPr>
        <w:t xml:space="preserve">designee, is hereby authorized to </w:t>
      </w:r>
      <w:r>
        <w:rPr>
          <w:sz w:val="24"/>
          <w:szCs w:val="24"/>
        </w:rPr>
        <w:t xml:space="preserve">negotiate, </w:t>
      </w:r>
      <w:proofErr w:type="gramStart"/>
      <w:r w:rsidRPr="00751A70">
        <w:rPr>
          <w:sz w:val="24"/>
          <w:szCs w:val="24"/>
        </w:rPr>
        <w:t>execute</w:t>
      </w:r>
      <w:proofErr w:type="gramEnd"/>
      <w:r w:rsidRPr="00751A70">
        <w:rPr>
          <w:sz w:val="24"/>
          <w:szCs w:val="24"/>
        </w:rPr>
        <w:t xml:space="preserve"> and deliver</w:t>
      </w:r>
      <w:r>
        <w:rPr>
          <w:sz w:val="24"/>
          <w:szCs w:val="24"/>
        </w:rPr>
        <w:t xml:space="preserve"> any and all contracts, agreements, deeds, instruments and other documents as may be necessary or desirable to consummate the transactions contemplated by this Resolution and to take such other action and to execute and deliver such other documents as he may deem necessary or desirable to carry out the intent of this Resolution.</w:t>
      </w:r>
    </w:p>
    <w:p w14:paraId="4EA801D7" w14:textId="77777777" w:rsidR="00A228C1" w:rsidRDefault="00A228C1" w:rsidP="00A228C1">
      <w:pPr>
        <w:pStyle w:val="ListParagraph"/>
        <w:widowControl/>
        <w:autoSpaceDE/>
        <w:autoSpaceDN/>
        <w:spacing w:after="160" w:line="259" w:lineRule="auto"/>
        <w:ind w:left="1080" w:firstLine="0"/>
        <w:jc w:val="both"/>
        <w:rPr>
          <w:sz w:val="24"/>
          <w:szCs w:val="24"/>
        </w:rPr>
      </w:pPr>
    </w:p>
    <w:p w14:paraId="36DC7045" w14:textId="77777777" w:rsidR="00A228C1" w:rsidRDefault="00A228C1" w:rsidP="00A228C1">
      <w:pPr>
        <w:pStyle w:val="ListParagraph"/>
        <w:widowControl/>
        <w:numPr>
          <w:ilvl w:val="0"/>
          <w:numId w:val="3"/>
        </w:numPr>
        <w:autoSpaceDE/>
        <w:autoSpaceDN/>
        <w:spacing w:after="160" w:line="259" w:lineRule="auto"/>
        <w:jc w:val="both"/>
        <w:rPr>
          <w:sz w:val="24"/>
          <w:szCs w:val="24"/>
        </w:rPr>
      </w:pPr>
      <w:r>
        <w:rPr>
          <w:sz w:val="24"/>
          <w:szCs w:val="24"/>
        </w:rPr>
        <w:t xml:space="preserve">All actions heretofore taken by the Executive Director and any other officer of the Authority in connection with the transactions contemplated by this Resolution are hereby approved, adopted, </w:t>
      </w:r>
      <w:proofErr w:type="gramStart"/>
      <w:r>
        <w:rPr>
          <w:sz w:val="24"/>
          <w:szCs w:val="24"/>
        </w:rPr>
        <w:t>ratified</w:t>
      </w:r>
      <w:proofErr w:type="gramEnd"/>
      <w:r>
        <w:rPr>
          <w:sz w:val="24"/>
          <w:szCs w:val="24"/>
        </w:rPr>
        <w:t xml:space="preserve"> and confirmed in all respects.</w:t>
      </w:r>
    </w:p>
    <w:p w14:paraId="41CBD37E" w14:textId="77777777" w:rsidR="00A228C1" w:rsidRPr="009A2345" w:rsidRDefault="00A228C1" w:rsidP="00A228C1">
      <w:pPr>
        <w:pStyle w:val="ListParagraph"/>
        <w:widowControl/>
        <w:numPr>
          <w:ilvl w:val="0"/>
          <w:numId w:val="3"/>
        </w:numPr>
        <w:autoSpaceDE/>
        <w:autoSpaceDN/>
        <w:spacing w:after="160" w:line="259" w:lineRule="auto"/>
        <w:jc w:val="both"/>
        <w:rPr>
          <w:sz w:val="24"/>
          <w:szCs w:val="24"/>
        </w:rPr>
      </w:pPr>
      <w:r w:rsidRPr="009A2345">
        <w:rPr>
          <w:sz w:val="24"/>
          <w:szCs w:val="24"/>
        </w:rPr>
        <w:lastRenderedPageBreak/>
        <w:t>This Resolution shall take effect immediately upon its adoption.</w:t>
      </w:r>
    </w:p>
    <w:p w14:paraId="694506F3" w14:textId="77777777" w:rsidR="007F6A22" w:rsidRDefault="007F6A22" w:rsidP="007F6A22">
      <w:pPr>
        <w:widowControl/>
        <w:autoSpaceDE/>
        <w:autoSpaceDN/>
        <w:spacing w:after="160" w:line="259" w:lineRule="auto"/>
        <w:jc w:val="both"/>
        <w:rPr>
          <w:sz w:val="24"/>
          <w:szCs w:val="24"/>
        </w:rPr>
      </w:pPr>
    </w:p>
    <w:p w14:paraId="0AE8171E" w14:textId="77777777" w:rsidR="00167E6B" w:rsidRDefault="00167E6B" w:rsidP="00167E6B">
      <w:pPr>
        <w:tabs>
          <w:tab w:val="left" w:pos="0"/>
        </w:tabs>
        <w:rPr>
          <w:rFonts w:ascii="0“∂0" w:eastAsiaTheme="minorHAnsi" w:hAnsi="0“∂0" w:cs="0“∂0"/>
          <w:i/>
          <w:iCs/>
          <w:sz w:val="24"/>
          <w:szCs w:val="24"/>
        </w:rPr>
      </w:pPr>
    </w:p>
    <w:p w14:paraId="2F68B312" w14:textId="0E3A5807" w:rsidR="0062342F" w:rsidRDefault="0062342F" w:rsidP="00167E6B">
      <w:pPr>
        <w:tabs>
          <w:tab w:val="left" w:pos="0"/>
        </w:tabs>
        <w:rPr>
          <w:b/>
          <w:caps/>
        </w:rPr>
      </w:pPr>
      <w:r w:rsidRPr="00A9189D">
        <w:rPr>
          <w:b/>
          <w:caps/>
        </w:rPr>
        <w:t>RESOLVED this twent</w:t>
      </w:r>
      <w:r>
        <w:rPr>
          <w:b/>
          <w:caps/>
        </w:rPr>
        <w:t xml:space="preserve">Y </w:t>
      </w:r>
      <w:r w:rsidR="00A228C1">
        <w:rPr>
          <w:b/>
          <w:caps/>
        </w:rPr>
        <w:t xml:space="preserve">THIRD </w:t>
      </w:r>
      <w:r w:rsidR="00A228C1" w:rsidRPr="00A9189D">
        <w:rPr>
          <w:b/>
          <w:caps/>
        </w:rPr>
        <w:t>DAY</w:t>
      </w:r>
      <w:r w:rsidRPr="00A9189D">
        <w:rPr>
          <w:b/>
          <w:caps/>
        </w:rPr>
        <w:t xml:space="preserve"> of </w:t>
      </w:r>
      <w:r w:rsidR="007F6A22">
        <w:rPr>
          <w:b/>
          <w:caps/>
        </w:rPr>
        <w:t>OCTOBER</w:t>
      </w:r>
      <w:r>
        <w:rPr>
          <w:b/>
          <w:caps/>
        </w:rPr>
        <w:t xml:space="preserve"> 2023</w:t>
      </w:r>
      <w:r w:rsidRPr="00A9189D">
        <w:rPr>
          <w:b/>
          <w:caps/>
        </w:rPr>
        <w:t xml:space="preserve"> by the CRHA BOARD of Commissioners.  </w:t>
      </w:r>
    </w:p>
    <w:p w14:paraId="5EAA7CF9" w14:textId="77777777" w:rsidR="0062342F" w:rsidRDefault="0062342F" w:rsidP="0062342F">
      <w:pPr>
        <w:tabs>
          <w:tab w:val="left" w:pos="0"/>
        </w:tabs>
        <w:rPr>
          <w:sz w:val="16"/>
          <w:szCs w:val="16"/>
        </w:rPr>
      </w:pPr>
    </w:p>
    <w:p w14:paraId="4D894894" w14:textId="77777777" w:rsidR="0062342F" w:rsidRDefault="0062342F" w:rsidP="0062342F">
      <w:pPr>
        <w:tabs>
          <w:tab w:val="left" w:pos="0"/>
        </w:tabs>
        <w:rPr>
          <w:sz w:val="16"/>
          <w:szCs w:val="16"/>
        </w:rPr>
      </w:pPr>
    </w:p>
    <w:p w14:paraId="26B233BA" w14:textId="77777777" w:rsidR="0062342F" w:rsidRPr="00565945" w:rsidRDefault="0062342F" w:rsidP="0062342F">
      <w:pPr>
        <w:tabs>
          <w:tab w:val="left" w:pos="0"/>
        </w:tabs>
        <w:rPr>
          <w:sz w:val="16"/>
          <w:szCs w:val="16"/>
        </w:rPr>
      </w:pPr>
    </w:p>
    <w:tbl>
      <w:tblPr>
        <w:tblW w:w="0" w:type="auto"/>
        <w:tblLook w:val="04A0" w:firstRow="1" w:lastRow="0" w:firstColumn="1" w:lastColumn="0" w:noHBand="0" w:noVBand="1"/>
      </w:tblPr>
      <w:tblGrid>
        <w:gridCol w:w="278"/>
        <w:gridCol w:w="3362"/>
        <w:gridCol w:w="277"/>
        <w:gridCol w:w="277"/>
        <w:gridCol w:w="3095"/>
        <w:gridCol w:w="101"/>
        <w:gridCol w:w="166"/>
        <w:gridCol w:w="104"/>
        <w:gridCol w:w="3380"/>
      </w:tblGrid>
      <w:tr w:rsidR="001A00B1" w:rsidRPr="00896F46" w14:paraId="6C9D0C05" w14:textId="77777777" w:rsidTr="001A00B1">
        <w:trPr>
          <w:gridAfter w:val="5"/>
          <w:wAfter w:w="6854" w:type="dxa"/>
        </w:trPr>
        <w:tc>
          <w:tcPr>
            <w:tcW w:w="3642" w:type="dxa"/>
            <w:gridSpan w:val="2"/>
            <w:tcBorders>
              <w:bottom w:val="single" w:sz="4" w:space="0" w:color="auto"/>
            </w:tcBorders>
            <w:shd w:val="clear" w:color="auto" w:fill="auto"/>
          </w:tcPr>
          <w:p w14:paraId="1D7737DF" w14:textId="77777777" w:rsidR="001A00B1" w:rsidRPr="00896F46" w:rsidRDefault="001A00B1" w:rsidP="007C294A">
            <w:pPr>
              <w:tabs>
                <w:tab w:val="left" w:pos="0"/>
              </w:tabs>
            </w:pPr>
          </w:p>
        </w:tc>
        <w:tc>
          <w:tcPr>
            <w:tcW w:w="277" w:type="dxa"/>
            <w:shd w:val="clear" w:color="auto" w:fill="auto"/>
          </w:tcPr>
          <w:p w14:paraId="01A71C90" w14:textId="77777777" w:rsidR="001A00B1" w:rsidRPr="00896F46" w:rsidRDefault="001A00B1" w:rsidP="007C294A">
            <w:pPr>
              <w:tabs>
                <w:tab w:val="left" w:pos="0"/>
              </w:tabs>
            </w:pPr>
          </w:p>
        </w:tc>
        <w:tc>
          <w:tcPr>
            <w:tcW w:w="267" w:type="dxa"/>
            <w:shd w:val="clear" w:color="auto" w:fill="auto"/>
          </w:tcPr>
          <w:p w14:paraId="1E62CE8A" w14:textId="77777777" w:rsidR="001A00B1" w:rsidRPr="00896F46" w:rsidRDefault="001A00B1" w:rsidP="007C294A">
            <w:pPr>
              <w:tabs>
                <w:tab w:val="left" w:pos="0"/>
              </w:tabs>
            </w:pPr>
          </w:p>
        </w:tc>
      </w:tr>
      <w:tr w:rsidR="001A00B1" w:rsidRPr="00896F46" w14:paraId="38068917" w14:textId="77777777" w:rsidTr="001A00B1">
        <w:trPr>
          <w:gridAfter w:val="6"/>
          <w:wAfter w:w="7121" w:type="dxa"/>
          <w:trHeight w:val="260"/>
        </w:trPr>
        <w:tc>
          <w:tcPr>
            <w:tcW w:w="3642" w:type="dxa"/>
            <w:gridSpan w:val="2"/>
            <w:tcBorders>
              <w:top w:val="single" w:sz="4" w:space="0" w:color="auto"/>
            </w:tcBorders>
            <w:shd w:val="clear" w:color="auto" w:fill="auto"/>
          </w:tcPr>
          <w:p w14:paraId="5FE316D9" w14:textId="3C7C9F3C" w:rsidR="001A00B1" w:rsidRPr="00896F46" w:rsidRDefault="001A00B1" w:rsidP="007C294A">
            <w:pPr>
              <w:tabs>
                <w:tab w:val="left" w:pos="0"/>
              </w:tabs>
            </w:pPr>
            <w:r>
              <w:t>Dr. Wes Bellamy</w:t>
            </w:r>
          </w:p>
        </w:tc>
        <w:tc>
          <w:tcPr>
            <w:tcW w:w="277" w:type="dxa"/>
            <w:shd w:val="clear" w:color="auto" w:fill="auto"/>
          </w:tcPr>
          <w:p w14:paraId="25F0666A" w14:textId="77777777" w:rsidR="001A00B1" w:rsidRPr="00896F46" w:rsidRDefault="001A00B1" w:rsidP="007C294A">
            <w:pPr>
              <w:tabs>
                <w:tab w:val="left" w:pos="0"/>
              </w:tabs>
            </w:pPr>
          </w:p>
        </w:tc>
      </w:tr>
      <w:tr w:rsidR="001A00B1" w:rsidRPr="00896F46" w14:paraId="3ECA0717" w14:textId="77777777" w:rsidTr="001A00B1">
        <w:trPr>
          <w:gridAfter w:val="6"/>
          <w:wAfter w:w="7121" w:type="dxa"/>
        </w:trPr>
        <w:tc>
          <w:tcPr>
            <w:tcW w:w="3642" w:type="dxa"/>
            <w:gridSpan w:val="2"/>
            <w:shd w:val="clear" w:color="auto" w:fill="auto"/>
          </w:tcPr>
          <w:p w14:paraId="6DC60A26" w14:textId="71CFA016" w:rsidR="001A00B1" w:rsidRPr="00896F46" w:rsidRDefault="001A00B1" w:rsidP="007C294A">
            <w:pPr>
              <w:tabs>
                <w:tab w:val="left" w:pos="0"/>
              </w:tabs>
            </w:pPr>
            <w:r w:rsidRPr="00896F46">
              <w:t>CRHA</w:t>
            </w:r>
            <w:r>
              <w:t xml:space="preserve"> Board</w:t>
            </w:r>
            <w:r w:rsidRPr="00896F46">
              <w:t xml:space="preserve"> Chair</w:t>
            </w:r>
          </w:p>
        </w:tc>
        <w:tc>
          <w:tcPr>
            <w:tcW w:w="277" w:type="dxa"/>
            <w:shd w:val="clear" w:color="auto" w:fill="auto"/>
          </w:tcPr>
          <w:p w14:paraId="618048FE" w14:textId="77777777" w:rsidR="001A00B1" w:rsidRPr="00896F46" w:rsidRDefault="001A00B1" w:rsidP="007C294A">
            <w:pPr>
              <w:tabs>
                <w:tab w:val="left" w:pos="0"/>
              </w:tabs>
            </w:pPr>
          </w:p>
        </w:tc>
      </w:tr>
      <w:tr w:rsidR="0062342F" w:rsidRPr="00896F46" w14:paraId="76B789D3" w14:textId="77777777" w:rsidTr="001A00B1">
        <w:tc>
          <w:tcPr>
            <w:tcW w:w="3642" w:type="dxa"/>
            <w:gridSpan w:val="2"/>
            <w:shd w:val="clear" w:color="auto" w:fill="auto"/>
          </w:tcPr>
          <w:p w14:paraId="677EC79B" w14:textId="77777777" w:rsidR="0062342F" w:rsidRPr="00896F46" w:rsidRDefault="0062342F" w:rsidP="007C294A">
            <w:pPr>
              <w:tabs>
                <w:tab w:val="left" w:pos="0"/>
              </w:tabs>
            </w:pPr>
          </w:p>
        </w:tc>
        <w:tc>
          <w:tcPr>
            <w:tcW w:w="277" w:type="dxa"/>
            <w:shd w:val="clear" w:color="auto" w:fill="auto"/>
          </w:tcPr>
          <w:p w14:paraId="05BC85BD" w14:textId="77777777" w:rsidR="0062342F" w:rsidRPr="00896F46" w:rsidRDefault="0062342F" w:rsidP="007C294A">
            <w:pPr>
              <w:tabs>
                <w:tab w:val="left" w:pos="0"/>
              </w:tabs>
            </w:pPr>
          </w:p>
        </w:tc>
        <w:tc>
          <w:tcPr>
            <w:tcW w:w="3376" w:type="dxa"/>
            <w:gridSpan w:val="2"/>
            <w:shd w:val="clear" w:color="auto" w:fill="auto"/>
          </w:tcPr>
          <w:p w14:paraId="2C6363E0" w14:textId="77777777" w:rsidR="0062342F" w:rsidRPr="00896F46" w:rsidRDefault="0062342F" w:rsidP="007C294A">
            <w:pPr>
              <w:tabs>
                <w:tab w:val="left" w:pos="0"/>
              </w:tabs>
            </w:pPr>
          </w:p>
        </w:tc>
        <w:tc>
          <w:tcPr>
            <w:tcW w:w="267" w:type="dxa"/>
            <w:gridSpan w:val="2"/>
            <w:shd w:val="clear" w:color="auto" w:fill="auto"/>
          </w:tcPr>
          <w:p w14:paraId="7BFB5566" w14:textId="77777777" w:rsidR="0062342F" w:rsidRPr="00896F46" w:rsidRDefault="0062342F" w:rsidP="007C294A">
            <w:pPr>
              <w:tabs>
                <w:tab w:val="left" w:pos="0"/>
              </w:tabs>
            </w:pPr>
          </w:p>
        </w:tc>
        <w:tc>
          <w:tcPr>
            <w:tcW w:w="3478" w:type="dxa"/>
            <w:gridSpan w:val="2"/>
            <w:shd w:val="clear" w:color="auto" w:fill="auto"/>
          </w:tcPr>
          <w:p w14:paraId="74081FC4" w14:textId="77777777" w:rsidR="0062342F" w:rsidRPr="00896F46" w:rsidRDefault="0062342F" w:rsidP="007C294A">
            <w:pPr>
              <w:tabs>
                <w:tab w:val="left" w:pos="0"/>
              </w:tabs>
            </w:pPr>
          </w:p>
        </w:tc>
      </w:tr>
      <w:tr w:rsidR="001A00B1" w:rsidRPr="00896F46" w14:paraId="207F8770" w14:textId="77777777" w:rsidTr="001A00B1">
        <w:trPr>
          <w:gridAfter w:val="8"/>
          <w:wAfter w:w="10763" w:type="dxa"/>
        </w:trPr>
        <w:tc>
          <w:tcPr>
            <w:tcW w:w="277" w:type="dxa"/>
            <w:shd w:val="clear" w:color="auto" w:fill="auto"/>
          </w:tcPr>
          <w:p w14:paraId="2319668A" w14:textId="77777777" w:rsidR="001A00B1" w:rsidRPr="00896F46" w:rsidRDefault="001A00B1" w:rsidP="007C294A">
            <w:pPr>
              <w:tabs>
                <w:tab w:val="left" w:pos="0"/>
              </w:tabs>
            </w:pPr>
          </w:p>
        </w:tc>
      </w:tr>
      <w:tr w:rsidR="001A00B1" w:rsidRPr="00896F46" w14:paraId="705BF4BF" w14:textId="77777777" w:rsidTr="001A00B1">
        <w:trPr>
          <w:gridAfter w:val="8"/>
          <w:wAfter w:w="10763" w:type="dxa"/>
        </w:trPr>
        <w:tc>
          <w:tcPr>
            <w:tcW w:w="277" w:type="dxa"/>
            <w:shd w:val="clear" w:color="auto" w:fill="auto"/>
          </w:tcPr>
          <w:p w14:paraId="0B91B867" w14:textId="77777777" w:rsidR="001A00B1" w:rsidRPr="00896F46" w:rsidRDefault="001A00B1" w:rsidP="007C294A">
            <w:pPr>
              <w:tabs>
                <w:tab w:val="left" w:pos="0"/>
              </w:tabs>
            </w:pPr>
          </w:p>
        </w:tc>
      </w:tr>
      <w:tr w:rsidR="001A00B1" w:rsidRPr="00896F46" w14:paraId="08630980" w14:textId="77777777" w:rsidTr="001A00B1">
        <w:trPr>
          <w:gridAfter w:val="8"/>
          <w:wAfter w:w="10763" w:type="dxa"/>
        </w:trPr>
        <w:tc>
          <w:tcPr>
            <w:tcW w:w="277" w:type="dxa"/>
            <w:shd w:val="clear" w:color="auto" w:fill="auto"/>
          </w:tcPr>
          <w:p w14:paraId="48FC0BF1" w14:textId="77777777" w:rsidR="001A00B1" w:rsidRPr="00896F46" w:rsidRDefault="001A00B1" w:rsidP="007C294A">
            <w:pPr>
              <w:tabs>
                <w:tab w:val="left" w:pos="0"/>
              </w:tabs>
            </w:pPr>
          </w:p>
        </w:tc>
      </w:tr>
      <w:tr w:rsidR="0062342F" w:rsidRPr="00896F46" w14:paraId="314DBF66" w14:textId="77777777" w:rsidTr="001A00B1">
        <w:tc>
          <w:tcPr>
            <w:tcW w:w="3642" w:type="dxa"/>
            <w:gridSpan w:val="2"/>
            <w:shd w:val="clear" w:color="auto" w:fill="auto"/>
          </w:tcPr>
          <w:p w14:paraId="5A702B05" w14:textId="77777777" w:rsidR="0062342F" w:rsidRPr="00896F46" w:rsidRDefault="0062342F" w:rsidP="007C294A">
            <w:pPr>
              <w:tabs>
                <w:tab w:val="left" w:pos="0"/>
              </w:tabs>
            </w:pPr>
          </w:p>
        </w:tc>
        <w:tc>
          <w:tcPr>
            <w:tcW w:w="277" w:type="dxa"/>
            <w:shd w:val="clear" w:color="auto" w:fill="auto"/>
          </w:tcPr>
          <w:p w14:paraId="1C2F4F83" w14:textId="77777777" w:rsidR="0062342F" w:rsidRPr="00896F46" w:rsidRDefault="0062342F" w:rsidP="007C294A">
            <w:pPr>
              <w:tabs>
                <w:tab w:val="left" w:pos="0"/>
              </w:tabs>
            </w:pPr>
          </w:p>
        </w:tc>
        <w:tc>
          <w:tcPr>
            <w:tcW w:w="3376" w:type="dxa"/>
            <w:gridSpan w:val="2"/>
            <w:shd w:val="clear" w:color="auto" w:fill="auto"/>
          </w:tcPr>
          <w:p w14:paraId="5E0A0F42" w14:textId="77777777" w:rsidR="0062342F" w:rsidRPr="00896F46" w:rsidRDefault="0062342F" w:rsidP="007C294A">
            <w:pPr>
              <w:tabs>
                <w:tab w:val="left" w:pos="0"/>
              </w:tabs>
            </w:pPr>
          </w:p>
        </w:tc>
        <w:tc>
          <w:tcPr>
            <w:tcW w:w="267" w:type="dxa"/>
            <w:gridSpan w:val="2"/>
            <w:shd w:val="clear" w:color="auto" w:fill="auto"/>
          </w:tcPr>
          <w:p w14:paraId="42F8396F" w14:textId="77777777" w:rsidR="0062342F" w:rsidRPr="00896F46" w:rsidRDefault="0062342F" w:rsidP="007C294A">
            <w:pPr>
              <w:tabs>
                <w:tab w:val="left" w:pos="0"/>
              </w:tabs>
            </w:pPr>
          </w:p>
        </w:tc>
        <w:tc>
          <w:tcPr>
            <w:tcW w:w="3478" w:type="dxa"/>
            <w:gridSpan w:val="2"/>
            <w:shd w:val="clear" w:color="auto" w:fill="auto"/>
          </w:tcPr>
          <w:p w14:paraId="47C024BA" w14:textId="77777777" w:rsidR="0062342F" w:rsidRPr="00896F46" w:rsidRDefault="0062342F" w:rsidP="007C294A">
            <w:pPr>
              <w:tabs>
                <w:tab w:val="left" w:pos="0"/>
              </w:tabs>
            </w:pPr>
          </w:p>
        </w:tc>
      </w:tr>
      <w:tr w:rsidR="0062342F" w:rsidRPr="00896F46" w14:paraId="08E75BB6" w14:textId="77777777" w:rsidTr="001A00B1">
        <w:trPr>
          <w:gridAfter w:val="3"/>
          <w:wAfter w:w="3644" w:type="dxa"/>
        </w:trPr>
        <w:tc>
          <w:tcPr>
            <w:tcW w:w="277" w:type="dxa"/>
            <w:shd w:val="clear" w:color="auto" w:fill="auto"/>
          </w:tcPr>
          <w:p w14:paraId="0EB47F01" w14:textId="77777777" w:rsidR="0062342F" w:rsidRPr="00896F46" w:rsidRDefault="0062342F" w:rsidP="007C294A">
            <w:pPr>
              <w:tabs>
                <w:tab w:val="left" w:pos="0"/>
              </w:tabs>
            </w:pPr>
          </w:p>
        </w:tc>
        <w:tc>
          <w:tcPr>
            <w:tcW w:w="3365" w:type="dxa"/>
            <w:tcBorders>
              <w:top w:val="single" w:sz="4" w:space="0" w:color="auto"/>
            </w:tcBorders>
            <w:shd w:val="clear" w:color="auto" w:fill="auto"/>
          </w:tcPr>
          <w:p w14:paraId="3D78FFC3" w14:textId="77777777" w:rsidR="0062342F" w:rsidRPr="00896F46" w:rsidRDefault="0062342F" w:rsidP="007C294A">
            <w:pPr>
              <w:tabs>
                <w:tab w:val="left" w:pos="0"/>
              </w:tabs>
            </w:pPr>
            <w:r w:rsidRPr="00444CFF">
              <w:t>M</w:t>
            </w:r>
            <w:r>
              <w:t>r. John M. Sales</w:t>
            </w:r>
          </w:p>
        </w:tc>
        <w:tc>
          <w:tcPr>
            <w:tcW w:w="277" w:type="dxa"/>
            <w:shd w:val="clear" w:color="auto" w:fill="auto"/>
          </w:tcPr>
          <w:p w14:paraId="65F8B0BB" w14:textId="77777777" w:rsidR="0062342F" w:rsidRPr="00896F46" w:rsidRDefault="0062342F" w:rsidP="007C294A">
            <w:pPr>
              <w:tabs>
                <w:tab w:val="left" w:pos="0"/>
              </w:tabs>
            </w:pPr>
          </w:p>
        </w:tc>
        <w:tc>
          <w:tcPr>
            <w:tcW w:w="3477" w:type="dxa"/>
            <w:gridSpan w:val="3"/>
            <w:shd w:val="clear" w:color="auto" w:fill="auto"/>
          </w:tcPr>
          <w:p w14:paraId="10A0EE6C" w14:textId="77777777" w:rsidR="0062342F" w:rsidRPr="00896F46" w:rsidRDefault="0062342F" w:rsidP="007C294A">
            <w:pPr>
              <w:tabs>
                <w:tab w:val="left" w:pos="0"/>
              </w:tabs>
            </w:pPr>
          </w:p>
        </w:tc>
      </w:tr>
      <w:tr w:rsidR="0062342F" w:rsidRPr="00896F46" w14:paraId="525D31C1" w14:textId="77777777" w:rsidTr="001A00B1">
        <w:trPr>
          <w:gridAfter w:val="3"/>
          <w:wAfter w:w="3644" w:type="dxa"/>
        </w:trPr>
        <w:tc>
          <w:tcPr>
            <w:tcW w:w="277" w:type="dxa"/>
            <w:shd w:val="clear" w:color="auto" w:fill="auto"/>
          </w:tcPr>
          <w:p w14:paraId="2EB60A9E" w14:textId="77777777" w:rsidR="0062342F" w:rsidRPr="00896F46" w:rsidRDefault="0062342F" w:rsidP="007C294A">
            <w:pPr>
              <w:tabs>
                <w:tab w:val="left" w:pos="0"/>
              </w:tabs>
            </w:pPr>
          </w:p>
        </w:tc>
        <w:tc>
          <w:tcPr>
            <w:tcW w:w="3365" w:type="dxa"/>
            <w:shd w:val="clear" w:color="auto" w:fill="auto"/>
          </w:tcPr>
          <w:p w14:paraId="18C21D67" w14:textId="77777777" w:rsidR="0062342F" w:rsidRPr="00896F46" w:rsidRDefault="0062342F" w:rsidP="007C294A">
            <w:pPr>
              <w:tabs>
                <w:tab w:val="left" w:pos="0"/>
              </w:tabs>
            </w:pPr>
            <w:r>
              <w:t>Board Secretary</w:t>
            </w:r>
          </w:p>
        </w:tc>
        <w:tc>
          <w:tcPr>
            <w:tcW w:w="277" w:type="dxa"/>
            <w:shd w:val="clear" w:color="auto" w:fill="auto"/>
          </w:tcPr>
          <w:p w14:paraId="69EEAF43" w14:textId="77777777" w:rsidR="0062342F" w:rsidRPr="00896F46" w:rsidRDefault="0062342F" w:rsidP="007C294A">
            <w:pPr>
              <w:tabs>
                <w:tab w:val="left" w:pos="0"/>
              </w:tabs>
            </w:pPr>
          </w:p>
        </w:tc>
        <w:tc>
          <w:tcPr>
            <w:tcW w:w="3477" w:type="dxa"/>
            <w:gridSpan w:val="3"/>
            <w:shd w:val="clear" w:color="auto" w:fill="auto"/>
          </w:tcPr>
          <w:p w14:paraId="04C69C0C" w14:textId="77777777" w:rsidR="0062342F" w:rsidRPr="00896F46" w:rsidRDefault="0062342F" w:rsidP="007C294A">
            <w:pPr>
              <w:tabs>
                <w:tab w:val="left" w:pos="0"/>
              </w:tabs>
            </w:pPr>
          </w:p>
        </w:tc>
      </w:tr>
      <w:tr w:rsidR="0062342F" w:rsidRPr="00896F46" w14:paraId="02D157BC" w14:textId="77777777" w:rsidTr="001A00B1">
        <w:trPr>
          <w:gridAfter w:val="1"/>
          <w:wAfter w:w="3374" w:type="dxa"/>
        </w:trPr>
        <w:tc>
          <w:tcPr>
            <w:tcW w:w="3642" w:type="dxa"/>
            <w:gridSpan w:val="2"/>
            <w:shd w:val="clear" w:color="auto" w:fill="auto"/>
          </w:tcPr>
          <w:p w14:paraId="5C4A9832" w14:textId="77777777" w:rsidR="0062342F" w:rsidRPr="00896F46" w:rsidRDefault="0062342F" w:rsidP="007C294A">
            <w:pPr>
              <w:tabs>
                <w:tab w:val="left" w:pos="0"/>
              </w:tabs>
            </w:pPr>
          </w:p>
        </w:tc>
        <w:tc>
          <w:tcPr>
            <w:tcW w:w="277" w:type="dxa"/>
            <w:shd w:val="clear" w:color="auto" w:fill="auto"/>
          </w:tcPr>
          <w:p w14:paraId="34BDA343" w14:textId="77777777" w:rsidR="0062342F" w:rsidRPr="00896F46" w:rsidRDefault="0062342F" w:rsidP="007C294A">
            <w:pPr>
              <w:tabs>
                <w:tab w:val="left" w:pos="0"/>
              </w:tabs>
            </w:pPr>
          </w:p>
        </w:tc>
        <w:tc>
          <w:tcPr>
            <w:tcW w:w="277" w:type="dxa"/>
            <w:shd w:val="clear" w:color="auto" w:fill="auto"/>
          </w:tcPr>
          <w:p w14:paraId="6A2D06CC" w14:textId="77777777" w:rsidR="0062342F" w:rsidRPr="00896F46" w:rsidRDefault="0062342F" w:rsidP="007C294A">
            <w:pPr>
              <w:tabs>
                <w:tab w:val="left" w:pos="0"/>
              </w:tabs>
            </w:pPr>
          </w:p>
        </w:tc>
        <w:tc>
          <w:tcPr>
            <w:tcW w:w="3470" w:type="dxa"/>
            <w:gridSpan w:val="4"/>
            <w:shd w:val="clear" w:color="auto" w:fill="auto"/>
          </w:tcPr>
          <w:p w14:paraId="5C6AA88F" w14:textId="77777777" w:rsidR="0062342F" w:rsidRPr="00896F46" w:rsidRDefault="0062342F" w:rsidP="007C294A">
            <w:pPr>
              <w:tabs>
                <w:tab w:val="left" w:pos="0"/>
              </w:tabs>
            </w:pPr>
          </w:p>
        </w:tc>
      </w:tr>
    </w:tbl>
    <w:p w14:paraId="341F7C59" w14:textId="77777777" w:rsidR="0062342F" w:rsidRPr="00B46C83" w:rsidRDefault="0062342F" w:rsidP="0062342F">
      <w:pPr>
        <w:tabs>
          <w:tab w:val="left" w:pos="0"/>
        </w:tabs>
      </w:pPr>
    </w:p>
    <w:p w14:paraId="19125959" w14:textId="77777777" w:rsidR="004F3208" w:rsidRDefault="004F3208" w:rsidP="004F3208">
      <w:pPr>
        <w:pStyle w:val="BodyText"/>
        <w:spacing w:before="6"/>
      </w:pPr>
    </w:p>
    <w:p w14:paraId="47809B39" w14:textId="77777777" w:rsidR="005F4D7C" w:rsidRDefault="005F4D7C">
      <w:pPr>
        <w:pStyle w:val="BodyText"/>
        <w:rPr>
          <w:sz w:val="29"/>
        </w:rPr>
      </w:pPr>
    </w:p>
    <w:p w14:paraId="75619824" w14:textId="3C169BA2" w:rsidR="00B2002D" w:rsidRDefault="00B2002D" w:rsidP="00B2002D">
      <w:pPr>
        <w:pStyle w:val="BodyText"/>
        <w:ind w:left="103" w:right="233"/>
        <w:jc w:val="center"/>
        <w:rPr>
          <w:spacing w:val="-2"/>
          <w:w w:val="105"/>
        </w:rPr>
      </w:pPr>
    </w:p>
    <w:p w14:paraId="6BB109EF" w14:textId="709249BC" w:rsidR="005F4D7C" w:rsidRDefault="005F4D7C" w:rsidP="00B2002D">
      <w:pPr>
        <w:tabs>
          <w:tab w:val="left" w:pos="6101"/>
        </w:tabs>
        <w:spacing w:line="20" w:lineRule="exact"/>
      </w:pPr>
    </w:p>
    <w:sectPr w:rsidR="005F4D7C">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0“∂0">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2359F"/>
    <w:multiLevelType w:val="hybridMultilevel"/>
    <w:tmpl w:val="9C0A92BC"/>
    <w:lvl w:ilvl="0" w:tplc="9D66D07C">
      <w:start w:val="1"/>
      <w:numFmt w:val="decimal"/>
      <w:lvlText w:val="%1."/>
      <w:lvlJc w:val="left"/>
      <w:pPr>
        <w:ind w:left="15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1869C4C">
      <w:start w:val="1"/>
      <w:numFmt w:val="lowerLetter"/>
      <w:lvlText w:val="(%2)"/>
      <w:lvlJc w:val="left"/>
      <w:pPr>
        <w:ind w:left="2260" w:hanging="721"/>
        <w:jc w:val="right"/>
      </w:pPr>
      <w:rPr>
        <w:rFonts w:ascii="Times New Roman" w:eastAsia="Times New Roman" w:hAnsi="Times New Roman" w:cs="Times New Roman" w:hint="default"/>
        <w:b w:val="0"/>
        <w:bCs w:val="0"/>
        <w:i w:val="0"/>
        <w:iCs w:val="0"/>
        <w:w w:val="100"/>
        <w:sz w:val="24"/>
        <w:szCs w:val="24"/>
        <w:lang w:val="en-US" w:eastAsia="en-US" w:bidi="ar-SA"/>
      </w:rPr>
    </w:lvl>
    <w:lvl w:ilvl="2" w:tplc="84AAEA1E">
      <w:start w:val="1"/>
      <w:numFmt w:val="decimal"/>
      <w:lvlText w:val="%3."/>
      <w:lvlJc w:val="left"/>
      <w:pPr>
        <w:ind w:left="29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272AC658">
      <w:start w:val="1"/>
      <w:numFmt w:val="lowerLetter"/>
      <w:lvlText w:val="%4)"/>
      <w:lvlJc w:val="left"/>
      <w:pPr>
        <w:ind w:left="3226" w:hanging="247"/>
        <w:jc w:val="left"/>
      </w:pPr>
      <w:rPr>
        <w:rFonts w:ascii="Times New Roman" w:eastAsia="Times New Roman" w:hAnsi="Times New Roman" w:cs="Times New Roman" w:hint="default"/>
        <w:b w:val="0"/>
        <w:bCs w:val="0"/>
        <w:i w:val="0"/>
        <w:iCs w:val="0"/>
        <w:w w:val="100"/>
        <w:sz w:val="24"/>
        <w:szCs w:val="24"/>
        <w:lang w:val="en-US" w:eastAsia="en-US" w:bidi="ar-SA"/>
      </w:rPr>
    </w:lvl>
    <w:lvl w:ilvl="4" w:tplc="AD5AC108">
      <w:numFmt w:val="bullet"/>
      <w:lvlText w:val="•"/>
      <w:lvlJc w:val="left"/>
      <w:pPr>
        <w:ind w:left="4337" w:hanging="247"/>
      </w:pPr>
      <w:rPr>
        <w:rFonts w:hint="default"/>
        <w:lang w:val="en-US" w:eastAsia="en-US" w:bidi="ar-SA"/>
      </w:rPr>
    </w:lvl>
    <w:lvl w:ilvl="5" w:tplc="DB9A3958">
      <w:numFmt w:val="bullet"/>
      <w:lvlText w:val="•"/>
      <w:lvlJc w:val="left"/>
      <w:pPr>
        <w:ind w:left="5454" w:hanging="247"/>
      </w:pPr>
      <w:rPr>
        <w:rFonts w:hint="default"/>
        <w:lang w:val="en-US" w:eastAsia="en-US" w:bidi="ar-SA"/>
      </w:rPr>
    </w:lvl>
    <w:lvl w:ilvl="6" w:tplc="468E4CDA">
      <w:numFmt w:val="bullet"/>
      <w:lvlText w:val="•"/>
      <w:lvlJc w:val="left"/>
      <w:pPr>
        <w:ind w:left="6571" w:hanging="247"/>
      </w:pPr>
      <w:rPr>
        <w:rFonts w:hint="default"/>
        <w:lang w:val="en-US" w:eastAsia="en-US" w:bidi="ar-SA"/>
      </w:rPr>
    </w:lvl>
    <w:lvl w:ilvl="7" w:tplc="E00840EA">
      <w:numFmt w:val="bullet"/>
      <w:lvlText w:val="•"/>
      <w:lvlJc w:val="left"/>
      <w:pPr>
        <w:ind w:left="7688" w:hanging="247"/>
      </w:pPr>
      <w:rPr>
        <w:rFonts w:hint="default"/>
        <w:lang w:val="en-US" w:eastAsia="en-US" w:bidi="ar-SA"/>
      </w:rPr>
    </w:lvl>
    <w:lvl w:ilvl="8" w:tplc="9D1A57C2">
      <w:numFmt w:val="bullet"/>
      <w:lvlText w:val="•"/>
      <w:lvlJc w:val="left"/>
      <w:pPr>
        <w:ind w:left="8805" w:hanging="247"/>
      </w:pPr>
      <w:rPr>
        <w:rFonts w:hint="default"/>
        <w:lang w:val="en-US" w:eastAsia="en-US" w:bidi="ar-SA"/>
      </w:rPr>
    </w:lvl>
  </w:abstractNum>
  <w:abstractNum w:abstractNumId="2" w15:restartNumberingAfterBreak="0">
    <w:nsid w:val="772D54FA"/>
    <w:multiLevelType w:val="hybridMultilevel"/>
    <w:tmpl w:val="884C44F2"/>
    <w:lvl w:ilvl="0" w:tplc="8CAAE75E">
      <w:start w:val="2"/>
      <w:numFmt w:val="lowerLetter"/>
      <w:lvlText w:val="(%1)"/>
      <w:lvlJc w:val="left"/>
      <w:pPr>
        <w:ind w:left="22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6C876F6">
      <w:numFmt w:val="bullet"/>
      <w:lvlText w:val="•"/>
      <w:lvlJc w:val="left"/>
      <w:pPr>
        <w:ind w:left="3138" w:hanging="720"/>
      </w:pPr>
      <w:rPr>
        <w:rFonts w:hint="default"/>
        <w:lang w:val="en-US" w:eastAsia="en-US" w:bidi="ar-SA"/>
      </w:rPr>
    </w:lvl>
    <w:lvl w:ilvl="2" w:tplc="45B45D56">
      <w:numFmt w:val="bullet"/>
      <w:lvlText w:val="•"/>
      <w:lvlJc w:val="left"/>
      <w:pPr>
        <w:ind w:left="4016" w:hanging="720"/>
      </w:pPr>
      <w:rPr>
        <w:rFonts w:hint="default"/>
        <w:lang w:val="en-US" w:eastAsia="en-US" w:bidi="ar-SA"/>
      </w:rPr>
    </w:lvl>
    <w:lvl w:ilvl="3" w:tplc="27F65ED8">
      <w:numFmt w:val="bullet"/>
      <w:lvlText w:val="•"/>
      <w:lvlJc w:val="left"/>
      <w:pPr>
        <w:ind w:left="4894" w:hanging="720"/>
      </w:pPr>
      <w:rPr>
        <w:rFonts w:hint="default"/>
        <w:lang w:val="en-US" w:eastAsia="en-US" w:bidi="ar-SA"/>
      </w:rPr>
    </w:lvl>
    <w:lvl w:ilvl="4" w:tplc="00CA7C24">
      <w:numFmt w:val="bullet"/>
      <w:lvlText w:val="•"/>
      <w:lvlJc w:val="left"/>
      <w:pPr>
        <w:ind w:left="5772" w:hanging="720"/>
      </w:pPr>
      <w:rPr>
        <w:rFonts w:hint="default"/>
        <w:lang w:val="en-US" w:eastAsia="en-US" w:bidi="ar-SA"/>
      </w:rPr>
    </w:lvl>
    <w:lvl w:ilvl="5" w:tplc="188035EC">
      <w:numFmt w:val="bullet"/>
      <w:lvlText w:val="•"/>
      <w:lvlJc w:val="left"/>
      <w:pPr>
        <w:ind w:left="6650" w:hanging="720"/>
      </w:pPr>
      <w:rPr>
        <w:rFonts w:hint="default"/>
        <w:lang w:val="en-US" w:eastAsia="en-US" w:bidi="ar-SA"/>
      </w:rPr>
    </w:lvl>
    <w:lvl w:ilvl="6" w:tplc="F4761E9A">
      <w:numFmt w:val="bullet"/>
      <w:lvlText w:val="•"/>
      <w:lvlJc w:val="left"/>
      <w:pPr>
        <w:ind w:left="7528" w:hanging="720"/>
      </w:pPr>
      <w:rPr>
        <w:rFonts w:hint="default"/>
        <w:lang w:val="en-US" w:eastAsia="en-US" w:bidi="ar-SA"/>
      </w:rPr>
    </w:lvl>
    <w:lvl w:ilvl="7" w:tplc="800A61E0">
      <w:numFmt w:val="bullet"/>
      <w:lvlText w:val="•"/>
      <w:lvlJc w:val="left"/>
      <w:pPr>
        <w:ind w:left="8406" w:hanging="720"/>
      </w:pPr>
      <w:rPr>
        <w:rFonts w:hint="default"/>
        <w:lang w:val="en-US" w:eastAsia="en-US" w:bidi="ar-SA"/>
      </w:rPr>
    </w:lvl>
    <w:lvl w:ilvl="8" w:tplc="2374959E">
      <w:numFmt w:val="bullet"/>
      <w:lvlText w:val="•"/>
      <w:lvlJc w:val="left"/>
      <w:pPr>
        <w:ind w:left="9284" w:hanging="720"/>
      </w:pPr>
      <w:rPr>
        <w:rFonts w:hint="default"/>
        <w:lang w:val="en-US" w:eastAsia="en-US" w:bidi="ar-SA"/>
      </w:rPr>
    </w:lvl>
  </w:abstractNum>
  <w:num w:numId="1" w16cid:durableId="818425964">
    <w:abstractNumId w:val="2"/>
  </w:num>
  <w:num w:numId="2" w16cid:durableId="1122655975">
    <w:abstractNumId w:val="1"/>
  </w:num>
  <w:num w:numId="3"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7C"/>
    <w:rsid w:val="00021E3D"/>
    <w:rsid w:val="00167E6B"/>
    <w:rsid w:val="001A00B1"/>
    <w:rsid w:val="004F3208"/>
    <w:rsid w:val="005F4D7C"/>
    <w:rsid w:val="0062342F"/>
    <w:rsid w:val="006E3DD7"/>
    <w:rsid w:val="007F6A22"/>
    <w:rsid w:val="00975E0D"/>
    <w:rsid w:val="00A228C1"/>
    <w:rsid w:val="00B2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8366"/>
  <w15:docId w15:val="{5C77E247-7C87-AA4B-BD44-503D1924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588" w:right="114"/>
      <w:jc w:val="center"/>
    </w:pPr>
    <w:rPr>
      <w:sz w:val="42"/>
      <w:szCs w:val="42"/>
    </w:rPr>
  </w:style>
  <w:style w:type="paragraph" w:styleId="ListParagraph">
    <w:name w:val="List Paragraph"/>
    <w:basedOn w:val="Normal"/>
    <w:uiPriority w:val="34"/>
    <w:qFormat/>
    <w:pPr>
      <w:spacing w:line="275" w:lineRule="exact"/>
      <w:ind w:left="29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1424 Annual Budget.doc</dc:title>
  <cp:lastModifiedBy>John Sales</cp:lastModifiedBy>
  <cp:revision>2</cp:revision>
  <cp:lastPrinted>2023-03-23T20:20:00Z</cp:lastPrinted>
  <dcterms:created xsi:type="dcterms:W3CDTF">2023-10-18T02:22:00Z</dcterms:created>
  <dcterms:modified xsi:type="dcterms:W3CDTF">2023-10-18T02:22:00Z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Word</vt:lpwstr>
  </property>
  <property fmtid="{D5CDD505-2E9C-101B-9397-08002B2CF9AE}" pid="4" name="LastSaved">
    <vt:filetime>2023-03-23T00:00:00Z</vt:filetime>
  </property>
  <property fmtid="{D5CDD505-2E9C-101B-9397-08002B2CF9AE}" pid="5" name="Producer">
    <vt:lpwstr>macOS Version 10.15.7 (Build 19H15) Quartz PDFContext</vt:lpwstr>
  </property>
</Properties>
</file>